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A8" w:rsidRPr="009608FB" w:rsidRDefault="00FF1DA8" w:rsidP="006832C2">
      <w:pPr>
        <w:spacing w:line="300" w:lineRule="exact"/>
        <w:jc w:val="center"/>
        <w:rPr>
          <w:rFonts w:ascii="Calibri" w:eastAsiaTheme="minorEastAsia" w:hAnsi="Calibri" w:cstheme="minorBidi"/>
          <w:b/>
          <w:noProof/>
          <w:u w:val="single"/>
        </w:rPr>
      </w:pPr>
      <w:r w:rsidRPr="009608FB">
        <w:rPr>
          <w:rFonts w:ascii="Calibri" w:eastAsiaTheme="minorEastAsia" w:hAnsi="Calibri" w:cstheme="minorBidi"/>
          <w:b/>
          <w:noProof/>
        </w:rPr>
        <w:t>O</w:t>
      </w:r>
      <w:r w:rsidR="00C66A0F" w:rsidRPr="009608FB">
        <w:rPr>
          <w:rFonts w:ascii="Calibri" w:eastAsiaTheme="minorEastAsia" w:hAnsi="Calibri" w:cstheme="minorBidi"/>
          <w:b/>
          <w:noProof/>
        </w:rPr>
        <w:t xml:space="preserve">ne </w:t>
      </w:r>
      <w:r w:rsidRPr="009608FB">
        <w:rPr>
          <w:rFonts w:ascii="Calibri" w:eastAsiaTheme="minorEastAsia" w:hAnsi="Calibri" w:cstheme="minorBidi"/>
          <w:b/>
          <w:noProof/>
        </w:rPr>
        <w:t>WTC</w:t>
      </w:r>
      <w:r w:rsidR="00C66A0F" w:rsidRPr="009608FB">
        <w:rPr>
          <w:rFonts w:ascii="Calibri" w:eastAsiaTheme="minorEastAsia" w:hAnsi="Calibri" w:cstheme="minorBidi"/>
          <w:b/>
          <w:noProof/>
        </w:rPr>
        <w:t>: Biography of the Building</w:t>
      </w:r>
      <w:r w:rsidR="00190412" w:rsidRPr="009608FB">
        <w:rPr>
          <w:rFonts w:ascii="Calibri" w:eastAsiaTheme="minorEastAsia" w:hAnsi="Calibri" w:cstheme="minorBidi"/>
          <w:b/>
          <w:noProof/>
        </w:rPr>
        <w:br/>
      </w:r>
      <w:r w:rsidR="00E10EEC" w:rsidRPr="009608FB">
        <w:rPr>
          <w:rFonts w:ascii="Calibri" w:eastAsiaTheme="minorEastAsia" w:hAnsi="Calibri" w:cstheme="minorBidi"/>
          <w:i/>
          <w:noProof/>
        </w:rPr>
        <w:t xml:space="preserve">Claims, Controversies, </w:t>
      </w:r>
      <w:r w:rsidR="006832C2" w:rsidRPr="009608FB">
        <w:rPr>
          <w:rFonts w:ascii="Calibri" w:eastAsiaTheme="minorEastAsia" w:hAnsi="Calibri" w:cstheme="minorBidi"/>
          <w:i/>
          <w:noProof/>
        </w:rPr>
        <w:t xml:space="preserve">Additional </w:t>
      </w:r>
      <w:r w:rsidR="00E10EEC" w:rsidRPr="009608FB">
        <w:rPr>
          <w:rFonts w:ascii="Calibri" w:eastAsiaTheme="minorEastAsia" w:hAnsi="Calibri" w:cstheme="minorBidi"/>
          <w:i/>
          <w:noProof/>
        </w:rPr>
        <w:t>Points of Interest</w:t>
      </w:r>
    </w:p>
    <w:p w:rsidR="00FF1DA8" w:rsidRPr="009608FB" w:rsidRDefault="00FF1DA8" w:rsidP="00FF1DA8">
      <w:pPr>
        <w:rPr>
          <w:rFonts w:ascii="Calibri" w:eastAsiaTheme="minorEastAsia" w:hAnsi="Calibri" w:cstheme="minorBidi"/>
          <w:noProof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10</w:t>
      </w:r>
      <w:r w:rsidR="00B26AB7" w:rsidRPr="009608FB">
        <w:rPr>
          <w:rFonts w:ascii="Calibri" w:hAnsi="Calibri"/>
          <w:b/>
          <w:sz w:val="22"/>
          <w:szCs w:val="22"/>
        </w:rPr>
        <w:t>:</w:t>
      </w:r>
      <w:r w:rsidR="00FF1DA8" w:rsidRPr="009608FB">
        <w:rPr>
          <w:rFonts w:ascii="Calibri" w:hAnsi="Calibri"/>
          <w:sz w:val="22"/>
          <w:szCs w:val="22"/>
        </w:rPr>
        <w:t xml:space="preserve"> </w:t>
      </w:r>
      <w:r w:rsidR="00190412" w:rsidRPr="009608FB">
        <w:rPr>
          <w:rFonts w:ascii="Calibri" w:hAnsi="Calibri"/>
          <w:sz w:val="22"/>
          <w:szCs w:val="22"/>
        </w:rPr>
        <w:t>OWTC</w:t>
      </w:r>
      <w:r w:rsidRPr="009608FB">
        <w:rPr>
          <w:rFonts w:ascii="Calibri" w:hAnsi="Calibri"/>
          <w:sz w:val="22"/>
          <w:szCs w:val="22"/>
        </w:rPr>
        <w:t xml:space="preserve"> explores how the P</w:t>
      </w:r>
      <w:r w:rsidR="00FF1DA8" w:rsidRPr="009608FB">
        <w:rPr>
          <w:rFonts w:ascii="Calibri" w:hAnsi="Calibri"/>
          <w:sz w:val="22"/>
          <w:szCs w:val="22"/>
        </w:rPr>
        <w:t>ort Authority governance structure made it difficult t</w:t>
      </w:r>
      <w:r w:rsidR="00C66A0F" w:rsidRPr="009608FB">
        <w:rPr>
          <w:rFonts w:ascii="Calibri" w:hAnsi="Calibri"/>
          <w:sz w:val="22"/>
          <w:szCs w:val="22"/>
        </w:rPr>
        <w:t>o achieve consistent direction on the project.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</w:t>
      </w:r>
      <w:r w:rsidR="00AB2E13" w:rsidRPr="009608FB">
        <w:rPr>
          <w:rFonts w:ascii="Calibri" w:hAnsi="Calibri"/>
          <w:b/>
          <w:sz w:val="22"/>
          <w:szCs w:val="22"/>
        </w:rPr>
        <w:t>. 10</w:t>
      </w:r>
      <w:r w:rsidR="00B26AB7" w:rsidRPr="009608FB">
        <w:rPr>
          <w:rFonts w:ascii="Calibri" w:hAnsi="Calibri"/>
          <w:b/>
          <w:sz w:val="22"/>
          <w:szCs w:val="22"/>
        </w:rPr>
        <w:t>:</w:t>
      </w:r>
      <w:r w:rsidR="00190412" w:rsidRPr="009608FB">
        <w:rPr>
          <w:rFonts w:ascii="Calibri" w:hAnsi="Calibri"/>
          <w:sz w:val="22"/>
          <w:szCs w:val="22"/>
        </w:rPr>
        <w:t xml:space="preserve"> The book</w:t>
      </w:r>
      <w:r w:rsidR="00AB2E13" w:rsidRPr="009608FB">
        <w:rPr>
          <w:rFonts w:ascii="Calibri" w:hAnsi="Calibri"/>
          <w:sz w:val="22"/>
          <w:szCs w:val="22"/>
        </w:rPr>
        <w:t xml:space="preserve"> also touches on how t</w:t>
      </w:r>
      <w:r w:rsidRPr="009608FB">
        <w:rPr>
          <w:rFonts w:ascii="Calibri" w:hAnsi="Calibri"/>
          <w:sz w:val="22"/>
          <w:szCs w:val="22"/>
        </w:rPr>
        <w:t>he authority got “pummeled”</w:t>
      </w:r>
      <w:r w:rsidR="00AB2E13" w:rsidRPr="009608FB">
        <w:rPr>
          <w:rFonts w:ascii="Calibri" w:hAnsi="Calibri"/>
          <w:sz w:val="22"/>
          <w:szCs w:val="22"/>
        </w:rPr>
        <w:t xml:space="preserve"> for not being “a good player,” as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1F0A69" w:rsidRPr="009608FB">
        <w:rPr>
          <w:rFonts w:ascii="Calibri" w:hAnsi="Calibri"/>
          <w:sz w:val="22"/>
          <w:szCs w:val="22"/>
        </w:rPr>
        <w:t xml:space="preserve">former director </w:t>
      </w:r>
      <w:r w:rsidRPr="009608FB">
        <w:rPr>
          <w:rFonts w:ascii="Calibri" w:hAnsi="Calibri"/>
          <w:sz w:val="22"/>
          <w:szCs w:val="22"/>
        </w:rPr>
        <w:t>Christopher O. Ward</w:t>
      </w:r>
      <w:r w:rsidR="001F0A69" w:rsidRPr="009608FB">
        <w:rPr>
          <w:rFonts w:ascii="Calibri" w:hAnsi="Calibri"/>
          <w:sz w:val="22"/>
          <w:szCs w:val="22"/>
        </w:rPr>
        <w:t xml:space="preserve"> </w:t>
      </w:r>
      <w:r w:rsidR="00AB2E13" w:rsidRPr="009608FB">
        <w:rPr>
          <w:rFonts w:ascii="Calibri" w:hAnsi="Calibri"/>
          <w:sz w:val="22"/>
          <w:szCs w:val="22"/>
        </w:rPr>
        <w:t xml:space="preserve">said, </w:t>
      </w:r>
      <w:r w:rsidRPr="009608FB">
        <w:rPr>
          <w:rFonts w:ascii="Calibri" w:hAnsi="Calibri"/>
          <w:sz w:val="22"/>
          <w:szCs w:val="22"/>
        </w:rPr>
        <w:t xml:space="preserve">even though it had “mortgaged its future to fill a financial gap that no other entity in this country could have ever been able to do. It wasn’t that the Port </w:t>
      </w:r>
      <w:proofErr w:type="gramStart"/>
      <w:r w:rsidRPr="009608FB">
        <w:rPr>
          <w:rFonts w:ascii="Calibri" w:hAnsi="Calibri"/>
          <w:sz w:val="22"/>
          <w:szCs w:val="22"/>
        </w:rPr>
        <w:t>said</w:t>
      </w:r>
      <w:proofErr w:type="gramEnd"/>
      <w:r w:rsidRPr="009608FB">
        <w:rPr>
          <w:rFonts w:ascii="Calibri" w:hAnsi="Calibri"/>
          <w:sz w:val="22"/>
          <w:szCs w:val="22"/>
        </w:rPr>
        <w:t>, ‘We’re going to bail everybody out’... [</w:t>
      </w:r>
      <w:proofErr w:type="gramStart"/>
      <w:r w:rsidRPr="009608FB">
        <w:rPr>
          <w:rFonts w:ascii="Calibri" w:hAnsi="Calibri"/>
          <w:sz w:val="22"/>
          <w:szCs w:val="22"/>
        </w:rPr>
        <w:t>rather</w:t>
      </w:r>
      <w:proofErr w:type="gramEnd"/>
      <w:r w:rsidRPr="009608FB">
        <w:rPr>
          <w:rFonts w:ascii="Calibri" w:hAnsi="Calibri"/>
          <w:sz w:val="22"/>
          <w:szCs w:val="22"/>
        </w:rPr>
        <w:t>, Governor] Pataki turned to the Port Authority and basically said, ‘You guys are going to do it.’” 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1C093A" w:rsidRPr="009608FB" w:rsidRDefault="001C093A" w:rsidP="001C093A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49, 50:</w:t>
      </w:r>
      <w:r w:rsidRPr="009608FB">
        <w:rPr>
          <w:rFonts w:ascii="Calibri" w:hAnsi="Calibri"/>
          <w:sz w:val="22"/>
          <w:szCs w:val="22"/>
        </w:rPr>
        <w:t xml:space="preserve"> Why One World Trade Center is no longer called the “Freedom Tower.”</w:t>
      </w:r>
    </w:p>
    <w:p w:rsidR="001C093A" w:rsidRPr="009608FB" w:rsidRDefault="001C093A" w:rsidP="00335E15">
      <w:pPr>
        <w:rPr>
          <w:rFonts w:ascii="Calibri" w:hAnsi="Calibri"/>
          <w:b/>
          <w:sz w:val="22"/>
          <w:szCs w:val="22"/>
        </w:rPr>
      </w:pPr>
    </w:p>
    <w:p w:rsidR="00335E15" w:rsidRPr="009608FB" w:rsidRDefault="00CA71FF" w:rsidP="00335E1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2A4EFF" w:rsidRPr="009608FB">
        <w:rPr>
          <w:rFonts w:ascii="Calibri" w:hAnsi="Calibri"/>
          <w:b/>
          <w:sz w:val="22"/>
          <w:szCs w:val="22"/>
        </w:rPr>
        <w:t>53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2A4EFF" w:rsidRPr="009608FB">
        <w:rPr>
          <w:rFonts w:ascii="Calibri" w:hAnsi="Calibri"/>
          <w:sz w:val="22"/>
          <w:szCs w:val="22"/>
        </w:rPr>
        <w:t xml:space="preserve">Why </w:t>
      </w:r>
      <w:r w:rsidR="00335E15" w:rsidRPr="009608FB">
        <w:rPr>
          <w:rFonts w:ascii="Calibri" w:hAnsi="Calibri"/>
          <w:sz w:val="22"/>
          <w:szCs w:val="22"/>
        </w:rPr>
        <w:t xml:space="preserve">the post-9/11 condition of the perimeter slurry walls presented </w:t>
      </w:r>
      <w:r w:rsidR="0049370B" w:rsidRPr="009608FB">
        <w:rPr>
          <w:rFonts w:ascii="Calibri" w:hAnsi="Calibri"/>
          <w:sz w:val="22"/>
          <w:szCs w:val="22"/>
        </w:rPr>
        <w:t>an immediate,</w:t>
      </w:r>
      <w:r w:rsidR="00335E15" w:rsidRPr="009608FB">
        <w:rPr>
          <w:rFonts w:ascii="Calibri" w:hAnsi="Calibri"/>
          <w:sz w:val="22"/>
          <w:szCs w:val="22"/>
        </w:rPr>
        <w:t xml:space="preserve"> potentially catastrophic threat to all of lower Manhattan.</w:t>
      </w:r>
    </w:p>
    <w:p w:rsidR="00335E15" w:rsidRPr="009608FB" w:rsidRDefault="00335E15" w:rsidP="00FF1DA8">
      <w:pPr>
        <w:rPr>
          <w:rFonts w:ascii="Calibri" w:hAnsi="Calibri"/>
          <w:b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26:</w:t>
      </w:r>
      <w:r w:rsidR="00FF1DA8" w:rsidRPr="009608FB">
        <w:rPr>
          <w:rFonts w:ascii="Calibri" w:hAnsi="Calibri"/>
          <w:sz w:val="22"/>
          <w:szCs w:val="22"/>
        </w:rPr>
        <w:t xml:space="preserve"> </w:t>
      </w:r>
      <w:r w:rsidRPr="009608FB">
        <w:rPr>
          <w:rFonts w:ascii="Calibri" w:hAnsi="Calibri"/>
          <w:sz w:val="22"/>
          <w:szCs w:val="22"/>
        </w:rPr>
        <w:t xml:space="preserve">The book </w:t>
      </w:r>
      <w:r w:rsidR="009137B3" w:rsidRPr="009608FB">
        <w:rPr>
          <w:rFonts w:ascii="Calibri" w:hAnsi="Calibri"/>
          <w:sz w:val="22"/>
          <w:szCs w:val="22"/>
        </w:rPr>
        <w:t>examines why</w:t>
      </w:r>
      <w:r w:rsidRPr="009608FB">
        <w:rPr>
          <w:rFonts w:ascii="Calibri" w:hAnsi="Calibri"/>
          <w:sz w:val="22"/>
          <w:szCs w:val="22"/>
        </w:rPr>
        <w:t xml:space="preserve"> the </w:t>
      </w:r>
      <w:proofErr w:type="gramStart"/>
      <w:r w:rsidR="00FF1DA8" w:rsidRPr="009608FB">
        <w:rPr>
          <w:rFonts w:ascii="Calibri" w:hAnsi="Calibri"/>
          <w:sz w:val="22"/>
          <w:szCs w:val="22"/>
        </w:rPr>
        <w:t>initial master plan proposals</w:t>
      </w:r>
      <w:r w:rsidRPr="009608FB">
        <w:rPr>
          <w:rFonts w:ascii="Calibri" w:hAnsi="Calibri"/>
          <w:sz w:val="22"/>
          <w:szCs w:val="22"/>
        </w:rPr>
        <w:t xml:space="preserve"> were</w:t>
      </w:r>
      <w:r w:rsidR="00FF1DA8" w:rsidRPr="009608FB">
        <w:rPr>
          <w:rFonts w:ascii="Calibri" w:hAnsi="Calibri"/>
          <w:sz w:val="22"/>
          <w:szCs w:val="22"/>
        </w:rPr>
        <w:t xml:space="preserve"> roundly rejected by the public</w:t>
      </w:r>
      <w:proofErr w:type="gramEnd"/>
      <w:r w:rsidRPr="009608FB">
        <w:rPr>
          <w:rFonts w:ascii="Calibri" w:hAnsi="Calibri"/>
          <w:sz w:val="22"/>
          <w:szCs w:val="22"/>
        </w:rPr>
        <w:t>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27:</w:t>
      </w:r>
      <w:r w:rsidRPr="009608FB">
        <w:rPr>
          <w:rFonts w:ascii="Calibri" w:hAnsi="Calibri"/>
          <w:sz w:val="22"/>
          <w:szCs w:val="22"/>
        </w:rPr>
        <w:t xml:space="preserve"> OWTC also explains that while the pre-planning process was not conceived as a design competition, it became one.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36:</w:t>
      </w:r>
      <w:r w:rsidR="00FF1DA8" w:rsidRPr="009608FB">
        <w:rPr>
          <w:rFonts w:ascii="Calibri" w:hAnsi="Calibri"/>
          <w:sz w:val="22"/>
          <w:szCs w:val="22"/>
        </w:rPr>
        <w:t xml:space="preserve"> From the outset, the LMDC’s ability to make decisions about this most intensely scrutinized project was hampered by a lack of clarity from public officials about whether remembrance or rebuilding was a priority, and by competing institutional claims </w:t>
      </w:r>
      <w:r w:rsidR="007E2C47">
        <w:rPr>
          <w:rFonts w:ascii="Calibri" w:hAnsi="Calibri"/>
          <w:sz w:val="22"/>
          <w:szCs w:val="22"/>
        </w:rPr>
        <w:t>between multiple partie</w:t>
      </w:r>
      <w:r w:rsidR="00FF1DA8" w:rsidRPr="009608FB">
        <w:rPr>
          <w:rFonts w:ascii="Calibri" w:hAnsi="Calibri"/>
          <w:sz w:val="22"/>
          <w:szCs w:val="22"/>
        </w:rPr>
        <w:t>s. 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2F3012" w:rsidRPr="009608FB" w:rsidRDefault="002F3012" w:rsidP="002F3012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36:</w:t>
      </w:r>
      <w:r w:rsidRPr="009608FB">
        <w:rPr>
          <w:rFonts w:ascii="Calibri" w:hAnsi="Calibri"/>
          <w:sz w:val="22"/>
          <w:szCs w:val="22"/>
        </w:rPr>
        <w:t xml:space="preserve"> OWTC looks at LMDC’s misguided notion that the results of the Innovative Design Study could be compiled into a single design.</w:t>
      </w:r>
    </w:p>
    <w:p w:rsidR="002F3012" w:rsidRPr="009608FB" w:rsidRDefault="002F3012" w:rsidP="002F3012">
      <w:pPr>
        <w:rPr>
          <w:rFonts w:ascii="Calibri" w:hAnsi="Calibri"/>
          <w:sz w:val="22"/>
          <w:szCs w:val="22"/>
        </w:rPr>
      </w:pPr>
    </w:p>
    <w:p w:rsidR="00C06D55" w:rsidRPr="009608FB" w:rsidRDefault="00C06D55" w:rsidP="00C06D55">
      <w:pPr>
        <w:spacing w:line="280" w:lineRule="exact"/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12:</w:t>
      </w:r>
      <w:r w:rsidRPr="009608FB">
        <w:rPr>
          <w:rFonts w:ascii="Calibri" w:hAnsi="Calibri"/>
          <w:sz w:val="22"/>
          <w:szCs w:val="22"/>
        </w:rPr>
        <w:t xml:space="preserve"> Silverstein was entitled, by law, to rebuild using the architects of his choice, namely, Skidmore, Owings &amp; Merrill.</w:t>
      </w:r>
    </w:p>
    <w:p w:rsidR="00C06D55" w:rsidRPr="009608FB" w:rsidRDefault="00C06D55" w:rsidP="00FF1DA8">
      <w:pPr>
        <w:rPr>
          <w:rFonts w:ascii="Calibri" w:hAnsi="Calibri"/>
          <w:b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72</w:t>
      </w:r>
      <w:r w:rsidR="001C093A" w:rsidRPr="009608FB">
        <w:rPr>
          <w:rFonts w:ascii="Calibri" w:hAnsi="Calibri"/>
          <w:b/>
          <w:sz w:val="22"/>
          <w:szCs w:val="22"/>
        </w:rPr>
        <w:t>, 272</w:t>
      </w:r>
      <w:r w:rsidR="00FF1DA8" w:rsidRPr="009608FB">
        <w:rPr>
          <w:rFonts w:ascii="Calibri" w:hAnsi="Calibri"/>
          <w:b/>
          <w:sz w:val="22"/>
          <w:szCs w:val="22"/>
        </w:rPr>
        <w:t>:</w:t>
      </w:r>
      <w:r w:rsidR="00FF1DA8" w:rsidRPr="009608FB">
        <w:rPr>
          <w:rFonts w:ascii="Calibri" w:hAnsi="Calibri"/>
          <w:sz w:val="22"/>
          <w:szCs w:val="22"/>
        </w:rPr>
        <w:t xml:space="preserve"> By 2008, it was widely understood but unacknowledged that the World Trade Center project was</w:t>
      </w:r>
      <w:r w:rsidRPr="009608FB">
        <w:rPr>
          <w:rFonts w:ascii="Calibri" w:hAnsi="Calibri"/>
          <w:sz w:val="22"/>
          <w:szCs w:val="22"/>
        </w:rPr>
        <w:t xml:space="preserve"> off the rails</w:t>
      </w:r>
      <w:r w:rsidR="00C06D55" w:rsidRPr="009608FB">
        <w:rPr>
          <w:rFonts w:ascii="Calibri" w:hAnsi="Calibri"/>
          <w:sz w:val="22"/>
          <w:szCs w:val="22"/>
        </w:rPr>
        <w:t xml:space="preserve">. 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C06D55" w:rsidRPr="009608FB">
        <w:rPr>
          <w:rFonts w:ascii="Calibri" w:hAnsi="Calibri"/>
          <w:sz w:val="22"/>
          <w:szCs w:val="22"/>
        </w:rPr>
        <w:t>How the Port Authority broke the construction logjam—and why it had no choice but to do so.</w:t>
      </w:r>
      <w:r w:rsidR="001C093A" w:rsidRPr="009608FB">
        <w:rPr>
          <w:rFonts w:ascii="Calibri" w:hAnsi="Calibri"/>
          <w:sz w:val="22"/>
          <w:szCs w:val="22"/>
        </w:rPr>
        <w:t xml:space="preserve"> (Notes 272)</w:t>
      </w:r>
    </w:p>
    <w:p w:rsidR="00C06D55" w:rsidRPr="009608FB" w:rsidRDefault="00C06D55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43</w:t>
      </w:r>
      <w:r w:rsidR="00B26AB7"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It also looks at w</w:t>
      </w:r>
      <w:r w:rsidR="00FF1DA8" w:rsidRPr="009608FB">
        <w:rPr>
          <w:rFonts w:ascii="Calibri" w:hAnsi="Calibri"/>
          <w:sz w:val="22"/>
          <w:szCs w:val="22"/>
        </w:rPr>
        <w:t>hy Libeskind’</w:t>
      </w:r>
      <w:r w:rsidRPr="009608FB">
        <w:rPr>
          <w:rFonts w:ascii="Calibri" w:hAnsi="Calibri"/>
          <w:sz w:val="22"/>
          <w:szCs w:val="22"/>
        </w:rPr>
        <w:t>s master plan was ultimately dismantled.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B26AB7" w:rsidRPr="009608FB">
        <w:rPr>
          <w:rFonts w:ascii="Calibri" w:hAnsi="Calibri"/>
          <w:b/>
          <w:sz w:val="22"/>
          <w:szCs w:val="22"/>
        </w:rPr>
        <w:t>44:</w:t>
      </w:r>
      <w:r w:rsidR="00B26AB7" w:rsidRPr="009608FB">
        <w:rPr>
          <w:rFonts w:ascii="Calibri" w:hAnsi="Calibri"/>
          <w:sz w:val="22"/>
          <w:szCs w:val="22"/>
        </w:rPr>
        <w:t xml:space="preserve"> </w:t>
      </w:r>
      <w:r w:rsidR="00FF1DA8" w:rsidRPr="009608FB">
        <w:rPr>
          <w:rFonts w:ascii="Calibri" w:hAnsi="Calibri"/>
          <w:sz w:val="22"/>
          <w:szCs w:val="22"/>
        </w:rPr>
        <w:t xml:space="preserve">Pataki, frustrated that things were not moving ahead as quickly as he’d like, strong-armed an uneasy alliance </w:t>
      </w:r>
      <w:r w:rsidRPr="009608FB">
        <w:rPr>
          <w:rFonts w:ascii="Calibri" w:hAnsi="Calibri"/>
          <w:sz w:val="22"/>
          <w:szCs w:val="22"/>
        </w:rPr>
        <w:t>between Childs and Libeskind.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44, 48</w:t>
      </w:r>
      <w:r w:rsidR="00B26AB7"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7E2C47">
        <w:rPr>
          <w:rFonts w:ascii="Calibri" w:hAnsi="Calibri"/>
          <w:sz w:val="22"/>
          <w:szCs w:val="22"/>
        </w:rPr>
        <w:t>How</w:t>
      </w:r>
      <w:r w:rsidRPr="009608FB">
        <w:rPr>
          <w:rFonts w:ascii="Calibri" w:hAnsi="Calibri"/>
          <w:sz w:val="22"/>
          <w:szCs w:val="22"/>
        </w:rPr>
        <w:t xml:space="preserve"> the </w:t>
      </w:r>
      <w:r w:rsidR="00FF1DA8" w:rsidRPr="009608FB">
        <w:rPr>
          <w:rFonts w:ascii="Calibri" w:hAnsi="Calibri"/>
          <w:sz w:val="22"/>
          <w:szCs w:val="22"/>
        </w:rPr>
        <w:t>difficult collab</w:t>
      </w:r>
      <w:r w:rsidRPr="009608FB">
        <w:rPr>
          <w:rFonts w:ascii="Calibri" w:hAnsi="Calibri"/>
          <w:sz w:val="22"/>
          <w:szCs w:val="22"/>
        </w:rPr>
        <w:t>oration</w:t>
      </w:r>
      <w:r w:rsidR="00FF1DA8" w:rsidRPr="009608FB">
        <w:rPr>
          <w:rFonts w:ascii="Calibri" w:hAnsi="Calibri"/>
          <w:sz w:val="22"/>
          <w:szCs w:val="22"/>
        </w:rPr>
        <w:t xml:space="preserve"> bet</w:t>
      </w:r>
      <w:r w:rsidRPr="009608FB">
        <w:rPr>
          <w:rFonts w:ascii="Calibri" w:hAnsi="Calibri"/>
          <w:sz w:val="22"/>
          <w:szCs w:val="22"/>
        </w:rPr>
        <w:t>ween Childs/Libeskind was eventually resolved.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B26AB7" w:rsidRPr="009608FB">
        <w:rPr>
          <w:rFonts w:ascii="Calibri" w:hAnsi="Calibri"/>
          <w:b/>
          <w:sz w:val="22"/>
          <w:szCs w:val="22"/>
        </w:rPr>
        <w:t>37</w:t>
      </w:r>
      <w:r w:rsidR="00B26AB7" w:rsidRPr="009608FB">
        <w:rPr>
          <w:rFonts w:ascii="Calibri" w:hAnsi="Calibri"/>
          <w:sz w:val="22"/>
          <w:szCs w:val="22"/>
        </w:rPr>
        <w:t>: The NYPD letter regarding security was lost on</w:t>
      </w:r>
      <w:r w:rsidR="00FF1DA8" w:rsidRPr="009608FB">
        <w:rPr>
          <w:rFonts w:ascii="Calibri" w:hAnsi="Calibri"/>
          <w:sz w:val="22"/>
          <w:szCs w:val="22"/>
        </w:rPr>
        <w:t xml:space="preserve"> August 31, 2004</w:t>
      </w:r>
      <w:r w:rsidR="00B26AB7" w:rsidRPr="009608FB">
        <w:rPr>
          <w:rFonts w:ascii="Calibri" w:hAnsi="Calibri"/>
          <w:sz w:val="22"/>
          <w:szCs w:val="22"/>
        </w:rPr>
        <w:t>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48</w:t>
      </w:r>
      <w:r w:rsidR="00B26AB7" w:rsidRPr="009608FB">
        <w:rPr>
          <w:rFonts w:ascii="Calibri" w:hAnsi="Calibri"/>
          <w:sz w:val="22"/>
          <w:szCs w:val="22"/>
        </w:rPr>
        <w:t>: The building’s d</w:t>
      </w:r>
      <w:r w:rsidR="00FF1DA8" w:rsidRPr="009608FB">
        <w:rPr>
          <w:rFonts w:ascii="Calibri" w:hAnsi="Calibri"/>
          <w:sz w:val="22"/>
          <w:szCs w:val="22"/>
        </w:rPr>
        <w:t>esign underw</w:t>
      </w:r>
      <w:r w:rsidR="00B26AB7" w:rsidRPr="009608FB">
        <w:rPr>
          <w:rFonts w:ascii="Calibri" w:hAnsi="Calibri"/>
          <w:sz w:val="22"/>
          <w:szCs w:val="22"/>
        </w:rPr>
        <w:t>ent a seismic reconfiguration when the N</w:t>
      </w:r>
      <w:r w:rsidR="00FF1DA8" w:rsidRPr="009608FB">
        <w:rPr>
          <w:rFonts w:ascii="Calibri" w:hAnsi="Calibri"/>
          <w:sz w:val="22"/>
          <w:szCs w:val="22"/>
        </w:rPr>
        <w:t>ew York Police Department insisted that the tower’s securit</w:t>
      </w:r>
      <w:r w:rsidRPr="009608FB">
        <w:rPr>
          <w:rFonts w:ascii="Calibri" w:hAnsi="Calibri"/>
          <w:sz w:val="22"/>
          <w:szCs w:val="22"/>
        </w:rPr>
        <w:t>y standard</w:t>
      </w:r>
      <w:r w:rsidR="00B26AB7" w:rsidRPr="009608FB">
        <w:rPr>
          <w:rFonts w:ascii="Calibri" w:hAnsi="Calibri"/>
          <w:sz w:val="22"/>
          <w:szCs w:val="22"/>
        </w:rPr>
        <w:t>s</w:t>
      </w:r>
      <w:r w:rsidRPr="009608FB">
        <w:rPr>
          <w:rFonts w:ascii="Calibri" w:hAnsi="Calibri"/>
          <w:sz w:val="22"/>
          <w:szCs w:val="22"/>
        </w:rPr>
        <w:t xml:space="preserve"> were insufficient. </w:t>
      </w:r>
      <w:r w:rsidR="00FF1DA8" w:rsidRPr="009608FB">
        <w:rPr>
          <w:rFonts w:ascii="Calibri" w:hAnsi="Calibri"/>
          <w:sz w:val="22"/>
          <w:szCs w:val="22"/>
        </w:rPr>
        <w:t> 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DA545F" w:rsidRPr="009608FB" w:rsidRDefault="00DA545F" w:rsidP="00DA545F">
      <w:pPr>
        <w:spacing w:line="280" w:lineRule="exact"/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58, 62-63:</w:t>
      </w:r>
      <w:r w:rsidRPr="009608FB">
        <w:rPr>
          <w:rFonts w:ascii="Calibri" w:hAnsi="Calibri"/>
          <w:sz w:val="22"/>
          <w:szCs w:val="22"/>
        </w:rPr>
        <w:t xml:space="preserve"> Seven WTC determined the quality and standards of every other building at the Trade Center</w:t>
      </w:r>
    </w:p>
    <w:p w:rsidR="00DA545F" w:rsidRPr="009608FB" w:rsidRDefault="00DA545F" w:rsidP="00335E15">
      <w:pPr>
        <w:rPr>
          <w:rFonts w:ascii="Calibri" w:hAnsi="Calibri"/>
          <w:b/>
          <w:sz w:val="22"/>
          <w:szCs w:val="22"/>
        </w:rPr>
      </w:pPr>
    </w:p>
    <w:p w:rsidR="00335E15" w:rsidRPr="009608FB" w:rsidRDefault="00CA71FF" w:rsidP="00335E1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5E594F" w:rsidRPr="009608FB">
        <w:rPr>
          <w:rFonts w:ascii="Calibri" w:hAnsi="Calibri"/>
          <w:b/>
          <w:sz w:val="22"/>
          <w:szCs w:val="22"/>
        </w:rPr>
        <w:t>94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335E15" w:rsidRPr="009608FB">
        <w:rPr>
          <w:rFonts w:ascii="Calibri" w:hAnsi="Calibri"/>
          <w:sz w:val="22"/>
          <w:szCs w:val="22"/>
        </w:rPr>
        <w:t>The structural and construction constraints imposed by the PATH train tracks, and how they were overcome.</w:t>
      </w:r>
    </w:p>
    <w:p w:rsidR="00D23174" w:rsidRPr="009608FB" w:rsidRDefault="00D23174" w:rsidP="00335E15">
      <w:pPr>
        <w:rPr>
          <w:rFonts w:ascii="Calibri" w:hAnsi="Calibri"/>
          <w:sz w:val="22"/>
          <w:szCs w:val="22"/>
        </w:rPr>
      </w:pPr>
    </w:p>
    <w:p w:rsidR="00702612" w:rsidRPr="009608FB" w:rsidRDefault="00702612" w:rsidP="00702612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79:</w:t>
      </w:r>
      <w:r w:rsidRPr="009608FB">
        <w:rPr>
          <w:rFonts w:ascii="Calibri" w:hAnsi="Calibri"/>
          <w:sz w:val="22"/>
          <w:szCs w:val="22"/>
        </w:rPr>
        <w:t xml:space="preserve"> The book discusses the challenges of tenant negotiations with Condé Nast and the less predictable concerns that shaped the media giant’s decision to move downtown.</w:t>
      </w:r>
    </w:p>
    <w:p w:rsidR="00702612" w:rsidRPr="009608FB" w:rsidRDefault="00702612" w:rsidP="00702612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83:</w:t>
      </w:r>
      <w:r w:rsidR="00FF1DA8" w:rsidRPr="009608FB">
        <w:rPr>
          <w:rFonts w:ascii="Calibri" w:hAnsi="Calibri"/>
          <w:sz w:val="22"/>
          <w:szCs w:val="22"/>
        </w:rPr>
        <w:t xml:space="preserve"> PANYNJ and Durst’s value engineering effort saw </w:t>
      </w:r>
      <w:r w:rsidR="00B26AB7" w:rsidRPr="009608FB">
        <w:rPr>
          <w:rFonts w:ascii="Calibri" w:hAnsi="Calibri"/>
          <w:sz w:val="22"/>
          <w:szCs w:val="22"/>
        </w:rPr>
        <w:t xml:space="preserve">the </w:t>
      </w:r>
      <w:r w:rsidR="00FF1DA8" w:rsidRPr="009608FB">
        <w:rPr>
          <w:rFonts w:ascii="Calibri" w:hAnsi="Calibri"/>
          <w:sz w:val="22"/>
          <w:szCs w:val="22"/>
        </w:rPr>
        <w:t>elimination of</w:t>
      </w:r>
      <w:r w:rsidR="00B26AB7" w:rsidRPr="009608FB">
        <w:rPr>
          <w:rFonts w:ascii="Calibri" w:hAnsi="Calibri"/>
          <w:sz w:val="22"/>
          <w:szCs w:val="22"/>
        </w:rPr>
        <w:t xml:space="preserve"> the</w:t>
      </w:r>
      <w:r w:rsidR="00FF1DA8" w:rsidRPr="009608FB">
        <w:rPr>
          <w:rFonts w:ascii="Calibri" w:hAnsi="Calibri"/>
          <w:sz w:val="22"/>
          <w:szCs w:val="22"/>
        </w:rPr>
        <w:t xml:space="preserve"> radome and </w:t>
      </w:r>
      <w:r w:rsidR="00B26AB7" w:rsidRPr="009608FB">
        <w:rPr>
          <w:rFonts w:ascii="Calibri" w:hAnsi="Calibri"/>
          <w:sz w:val="22"/>
          <w:szCs w:val="22"/>
        </w:rPr>
        <w:t xml:space="preserve">changed the design of the podium on which the building sits. </w:t>
      </w:r>
    </w:p>
    <w:p w:rsidR="00C66A0F" w:rsidRPr="009608FB" w:rsidRDefault="00C66A0F" w:rsidP="00FF1DA8">
      <w:pPr>
        <w:rPr>
          <w:rFonts w:ascii="Calibri" w:hAnsi="Calibri"/>
          <w:sz w:val="22"/>
          <w:szCs w:val="22"/>
        </w:rPr>
      </w:pPr>
    </w:p>
    <w:p w:rsidR="00972E55" w:rsidRPr="009608FB" w:rsidRDefault="00CA71FF" w:rsidP="00972E5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C52D2B" w:rsidRPr="009608FB">
        <w:rPr>
          <w:rFonts w:ascii="Calibri" w:hAnsi="Calibri"/>
          <w:b/>
          <w:sz w:val="22"/>
          <w:szCs w:val="22"/>
        </w:rPr>
        <w:t>69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972E55" w:rsidRPr="009608FB">
        <w:rPr>
          <w:rFonts w:ascii="Calibri" w:hAnsi="Calibri"/>
          <w:sz w:val="22"/>
          <w:szCs w:val="22"/>
        </w:rPr>
        <w:t>One WTC’s profile may appear minimal and unadorned, but it is not.</w:t>
      </w:r>
    </w:p>
    <w:p w:rsidR="00702612" w:rsidRPr="009608FB" w:rsidRDefault="00702612" w:rsidP="00972E55">
      <w:pPr>
        <w:rPr>
          <w:rFonts w:ascii="Calibri" w:hAnsi="Calibri"/>
          <w:sz w:val="22"/>
          <w:szCs w:val="22"/>
        </w:rPr>
      </w:pPr>
    </w:p>
    <w:p w:rsidR="00972E55" w:rsidRPr="009608FB" w:rsidRDefault="00CA71FF" w:rsidP="00972E5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5E594F" w:rsidRPr="009608FB">
        <w:rPr>
          <w:rFonts w:ascii="Calibri" w:hAnsi="Calibri"/>
          <w:b/>
          <w:sz w:val="22"/>
          <w:szCs w:val="22"/>
        </w:rPr>
        <w:t>87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972E55" w:rsidRPr="009608FB">
        <w:rPr>
          <w:rFonts w:ascii="Calibri" w:hAnsi="Calibri"/>
          <w:sz w:val="22"/>
          <w:szCs w:val="22"/>
        </w:rPr>
        <w:t>Why Chicago ceded the title of the “nation’s tallest tower” to One WTC after hours of closed-door deliberations.</w:t>
      </w:r>
    </w:p>
    <w:p w:rsidR="00972E55" w:rsidRPr="009608FB" w:rsidRDefault="00972E55" w:rsidP="00FF1DA8">
      <w:pPr>
        <w:rPr>
          <w:rFonts w:ascii="Calibri" w:hAnsi="Calibri"/>
          <w:b/>
          <w:sz w:val="22"/>
          <w:szCs w:val="22"/>
        </w:rPr>
      </w:pPr>
    </w:p>
    <w:p w:rsidR="000F7325" w:rsidRPr="009608FB" w:rsidRDefault="00CA71FF" w:rsidP="000F732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C52D2B" w:rsidRPr="009608FB">
        <w:rPr>
          <w:rFonts w:ascii="Calibri" w:hAnsi="Calibri"/>
          <w:b/>
          <w:sz w:val="22"/>
          <w:szCs w:val="22"/>
        </w:rPr>
        <w:t>109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0F7325" w:rsidRPr="009608FB">
        <w:rPr>
          <w:rFonts w:ascii="Calibri" w:hAnsi="Calibri"/>
          <w:sz w:val="22"/>
          <w:szCs w:val="22"/>
        </w:rPr>
        <w:t>The project’s atypical const</w:t>
      </w:r>
      <w:r w:rsidR="00BD5196" w:rsidRPr="009608FB">
        <w:rPr>
          <w:rFonts w:ascii="Calibri" w:hAnsi="Calibri"/>
          <w:sz w:val="22"/>
          <w:szCs w:val="22"/>
        </w:rPr>
        <w:t xml:space="preserve">ruction process was unavoidable, as </w:t>
      </w:r>
      <w:r w:rsidR="000F7325" w:rsidRPr="009608FB">
        <w:rPr>
          <w:rFonts w:ascii="Calibri" w:hAnsi="Calibri"/>
          <w:sz w:val="22"/>
          <w:szCs w:val="22"/>
        </w:rPr>
        <w:t>multiple buildings that were controlled by multiple parties were stacked on top of each other.</w:t>
      </w:r>
    </w:p>
    <w:p w:rsidR="000F7325" w:rsidRPr="009608FB" w:rsidRDefault="000F7325" w:rsidP="000F7325">
      <w:pPr>
        <w:rPr>
          <w:rFonts w:ascii="Calibri" w:hAnsi="Calibri"/>
          <w:sz w:val="22"/>
          <w:szCs w:val="22"/>
        </w:rPr>
      </w:pPr>
    </w:p>
    <w:p w:rsidR="000F7325" w:rsidRPr="009608FB" w:rsidRDefault="00CA71FF" w:rsidP="000F732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CC6365" w:rsidRPr="009608FB">
        <w:rPr>
          <w:rFonts w:ascii="Calibri" w:hAnsi="Calibri"/>
          <w:b/>
          <w:sz w:val="22"/>
          <w:szCs w:val="22"/>
        </w:rPr>
        <w:t>178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0F7325" w:rsidRPr="009608FB">
        <w:rPr>
          <w:rFonts w:ascii="Calibri" w:hAnsi="Calibri"/>
          <w:sz w:val="22"/>
          <w:szCs w:val="22"/>
        </w:rPr>
        <w:t>The genesis of the 9/11 Museum meant that architect Davis Brody Bond had to invert design formulas that shape more traditional museums.</w:t>
      </w:r>
    </w:p>
    <w:p w:rsidR="000F7325" w:rsidRPr="009608FB" w:rsidRDefault="000F7325" w:rsidP="000F7325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166</w:t>
      </w:r>
      <w:r w:rsidR="00B26AB7" w:rsidRPr="009608FB">
        <w:rPr>
          <w:rFonts w:ascii="Calibri" w:hAnsi="Calibri"/>
          <w:b/>
          <w:sz w:val="22"/>
          <w:szCs w:val="22"/>
        </w:rPr>
        <w:t>:</w:t>
      </w:r>
      <w:r w:rsidR="00FF1DA8" w:rsidRPr="009608FB">
        <w:rPr>
          <w:rFonts w:ascii="Calibri" w:hAnsi="Calibri"/>
          <w:sz w:val="22"/>
          <w:szCs w:val="22"/>
        </w:rPr>
        <w:t xml:space="preserve"> </w:t>
      </w:r>
      <w:r w:rsidR="00DF2822" w:rsidRPr="009608FB">
        <w:rPr>
          <w:rFonts w:ascii="Calibri" w:hAnsi="Calibri"/>
          <w:sz w:val="22"/>
          <w:szCs w:val="22"/>
        </w:rPr>
        <w:t>The families of 9/11 victims expressed</w:t>
      </w:r>
      <w:r w:rsidR="00FF1DA8" w:rsidRPr="009608FB">
        <w:rPr>
          <w:rFonts w:ascii="Calibri" w:hAnsi="Calibri"/>
          <w:sz w:val="22"/>
          <w:szCs w:val="22"/>
        </w:rPr>
        <w:t xml:space="preserve"> anger over</w:t>
      </w:r>
      <w:r w:rsidR="00DF2822" w:rsidRPr="009608FB">
        <w:rPr>
          <w:rFonts w:ascii="Calibri" w:hAnsi="Calibri"/>
          <w:sz w:val="22"/>
          <w:szCs w:val="22"/>
        </w:rPr>
        <w:t xml:space="preserve"> the</w:t>
      </w:r>
      <w:r w:rsidR="00FF1DA8" w:rsidRPr="009608FB">
        <w:rPr>
          <w:rFonts w:ascii="Calibri" w:hAnsi="Calibri"/>
          <w:sz w:val="22"/>
          <w:szCs w:val="22"/>
        </w:rPr>
        <w:t xml:space="preserve"> placement of</w:t>
      </w:r>
      <w:r w:rsidR="00DF2822" w:rsidRPr="009608FB">
        <w:rPr>
          <w:rFonts w:ascii="Calibri" w:hAnsi="Calibri"/>
          <w:sz w:val="22"/>
          <w:szCs w:val="22"/>
        </w:rPr>
        <w:t xml:space="preserve"> </w:t>
      </w:r>
      <w:proofErr w:type="gramStart"/>
      <w:r w:rsidR="00DF2822" w:rsidRPr="009608FB">
        <w:rPr>
          <w:rFonts w:ascii="Calibri" w:hAnsi="Calibri"/>
          <w:sz w:val="22"/>
          <w:szCs w:val="22"/>
        </w:rPr>
        <w:t>their</w:t>
      </w:r>
      <w:proofErr w:type="gramEnd"/>
      <w:r w:rsidR="00DF2822" w:rsidRPr="009608FB">
        <w:rPr>
          <w:rFonts w:ascii="Calibri" w:hAnsi="Calibri"/>
          <w:sz w:val="22"/>
          <w:szCs w:val="22"/>
        </w:rPr>
        <w:t xml:space="preserve"> loved ones’</w:t>
      </w:r>
      <w:r w:rsidR="00FF1DA8" w:rsidRPr="009608FB">
        <w:rPr>
          <w:rFonts w:ascii="Calibri" w:hAnsi="Calibri"/>
          <w:sz w:val="22"/>
          <w:szCs w:val="22"/>
        </w:rPr>
        <w:t xml:space="preserve"> names on </w:t>
      </w:r>
      <w:r w:rsidR="00DF2822" w:rsidRPr="009608FB">
        <w:rPr>
          <w:rFonts w:ascii="Calibri" w:hAnsi="Calibri"/>
          <w:sz w:val="22"/>
          <w:szCs w:val="22"/>
        </w:rPr>
        <w:t xml:space="preserve">the </w:t>
      </w:r>
      <w:r w:rsidR="00FF1DA8" w:rsidRPr="009608FB">
        <w:rPr>
          <w:rFonts w:ascii="Calibri" w:hAnsi="Calibri"/>
          <w:sz w:val="22"/>
          <w:szCs w:val="22"/>
        </w:rPr>
        <w:t>memorial</w:t>
      </w:r>
      <w:r w:rsidR="00DF2822" w:rsidRPr="009608FB">
        <w:rPr>
          <w:rFonts w:ascii="Calibri" w:hAnsi="Calibri"/>
          <w:sz w:val="22"/>
          <w:szCs w:val="22"/>
        </w:rPr>
        <w:t>.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B6445C" w:rsidRPr="009608FB">
        <w:rPr>
          <w:rFonts w:ascii="Calibri" w:hAnsi="Calibri"/>
          <w:b/>
          <w:sz w:val="22"/>
          <w:szCs w:val="22"/>
        </w:rPr>
        <w:t xml:space="preserve">170, </w:t>
      </w:r>
      <w:r w:rsidR="00B26AB7" w:rsidRPr="009608FB">
        <w:rPr>
          <w:rFonts w:ascii="Calibri" w:hAnsi="Calibri"/>
          <w:b/>
          <w:sz w:val="22"/>
          <w:szCs w:val="22"/>
        </w:rPr>
        <w:t>274</w:t>
      </w:r>
      <w:r w:rsidR="00B26AB7" w:rsidRPr="009608FB">
        <w:rPr>
          <w:rFonts w:ascii="Calibri" w:hAnsi="Calibri"/>
          <w:sz w:val="22"/>
          <w:szCs w:val="22"/>
        </w:rPr>
        <w:t>: The book looks at h</w:t>
      </w:r>
      <w:r w:rsidR="00FF1DA8" w:rsidRPr="009608FB">
        <w:rPr>
          <w:rFonts w:ascii="Calibri" w:hAnsi="Calibri"/>
          <w:sz w:val="22"/>
          <w:szCs w:val="22"/>
        </w:rPr>
        <w:t>ow Arad and Bloomberg solved</w:t>
      </w:r>
      <w:r w:rsidR="00B26AB7" w:rsidRPr="009608FB">
        <w:rPr>
          <w:rFonts w:ascii="Calibri" w:hAnsi="Calibri"/>
          <w:sz w:val="22"/>
          <w:szCs w:val="22"/>
        </w:rPr>
        <w:t xml:space="preserve"> the names’ placement controversy. </w:t>
      </w:r>
      <w:r w:rsidR="00B26AB7" w:rsidRPr="009608FB">
        <w:rPr>
          <w:rFonts w:ascii="Calibri" w:hAnsi="Calibri"/>
          <w:i/>
          <w:sz w:val="22"/>
          <w:szCs w:val="22"/>
        </w:rPr>
        <w:t>(N</w:t>
      </w:r>
      <w:r w:rsidR="00FF1DA8" w:rsidRPr="009608FB">
        <w:rPr>
          <w:rFonts w:ascii="Calibri" w:hAnsi="Calibri"/>
          <w:i/>
          <w:sz w:val="22"/>
          <w:szCs w:val="22"/>
        </w:rPr>
        <w:t>otes 170</w:t>
      </w:r>
      <w:r w:rsidR="00B26AB7" w:rsidRPr="009608FB">
        <w:rPr>
          <w:rFonts w:ascii="Calibri" w:hAnsi="Calibri"/>
          <w:i/>
          <w:sz w:val="22"/>
          <w:szCs w:val="22"/>
        </w:rPr>
        <w:t>)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F45B25" w:rsidRPr="009608FB" w:rsidRDefault="00F45B25" w:rsidP="00F45B25">
      <w:pPr>
        <w:spacing w:line="280" w:lineRule="exact"/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206, 210, 239, 276</w:t>
      </w:r>
      <w:r w:rsidR="00DA545F"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Why, after a long battle, a small Christian church won the right to rebuild at the Trade Center, and how the site was configured to accommodate it. (Notes 276)</w:t>
      </w:r>
    </w:p>
    <w:p w:rsidR="00F45B25" w:rsidRPr="009608FB" w:rsidRDefault="00F45B25" w:rsidP="000F7325">
      <w:pPr>
        <w:rPr>
          <w:rFonts w:ascii="Calibri" w:hAnsi="Calibri"/>
          <w:b/>
          <w:sz w:val="22"/>
          <w:szCs w:val="22"/>
        </w:rPr>
      </w:pPr>
    </w:p>
    <w:p w:rsidR="000F7325" w:rsidRPr="009608FB" w:rsidRDefault="00CA71FF" w:rsidP="000F7325">
      <w:pPr>
        <w:rPr>
          <w:rFonts w:ascii="Calibri" w:hAnsi="Calibri"/>
          <w:color w:val="000000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49370B" w:rsidRPr="009608FB">
        <w:rPr>
          <w:rFonts w:ascii="Calibri" w:hAnsi="Calibri"/>
          <w:b/>
          <w:sz w:val="22"/>
          <w:szCs w:val="22"/>
        </w:rPr>
        <w:t>213</w:t>
      </w:r>
      <w:r w:rsidR="00260EB7" w:rsidRPr="009608FB">
        <w:rPr>
          <w:rFonts w:ascii="Calibri" w:hAnsi="Calibri"/>
          <w:b/>
          <w:sz w:val="22"/>
          <w:szCs w:val="22"/>
        </w:rPr>
        <w:t>, 276, 297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0F7325" w:rsidRPr="009608FB">
        <w:rPr>
          <w:rFonts w:ascii="Calibri" w:hAnsi="Calibri"/>
          <w:sz w:val="22"/>
          <w:szCs w:val="22"/>
        </w:rPr>
        <w:t xml:space="preserve">Why the </w:t>
      </w:r>
      <w:r w:rsidR="000F7325" w:rsidRPr="009608FB">
        <w:rPr>
          <w:rFonts w:ascii="Calibri" w:hAnsi="Calibri"/>
          <w:color w:val="000000"/>
          <w:sz w:val="22"/>
          <w:szCs w:val="22"/>
        </w:rPr>
        <w:t>Ground Zero Cross is displayed at the 9/11 Museum, despite protests from atheists.</w:t>
      </w:r>
    </w:p>
    <w:p w:rsidR="000F7325" w:rsidRPr="009608FB" w:rsidRDefault="000F7325" w:rsidP="000F7325">
      <w:pPr>
        <w:rPr>
          <w:rFonts w:ascii="Calibri" w:hAnsi="Calibri"/>
          <w:sz w:val="22"/>
          <w:szCs w:val="22"/>
        </w:rPr>
      </w:pPr>
    </w:p>
    <w:p w:rsidR="000F7325" w:rsidRPr="009608FB" w:rsidRDefault="00CA71FF" w:rsidP="000F7325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49370B" w:rsidRPr="009608FB">
        <w:rPr>
          <w:rFonts w:ascii="Calibri" w:hAnsi="Calibri"/>
          <w:b/>
          <w:sz w:val="22"/>
          <w:szCs w:val="22"/>
        </w:rPr>
        <w:t>230, 231</w:t>
      </w:r>
      <w:r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</w:t>
      </w:r>
      <w:r w:rsidR="000F7325" w:rsidRPr="009608FB">
        <w:rPr>
          <w:rFonts w:ascii="Calibri" w:hAnsi="Calibri"/>
          <w:sz w:val="22"/>
          <w:szCs w:val="22"/>
        </w:rPr>
        <w:t>How 3 WTC forced the Port Authority’s decision-making process to become more transparent, and why they agreed to do so.</w:t>
      </w:r>
    </w:p>
    <w:p w:rsidR="000F7325" w:rsidRPr="009608FB" w:rsidRDefault="000F7325" w:rsidP="00FF1DA8">
      <w:pPr>
        <w:rPr>
          <w:rFonts w:ascii="Calibri" w:hAnsi="Calibri"/>
          <w:b/>
          <w:sz w:val="22"/>
          <w:szCs w:val="22"/>
        </w:rPr>
      </w:pPr>
    </w:p>
    <w:p w:rsidR="00B32887" w:rsidRPr="009608FB" w:rsidRDefault="00B32887" w:rsidP="00B32887">
      <w:pPr>
        <w:spacing w:line="280" w:lineRule="exact"/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219-225</w:t>
      </w:r>
      <w:r w:rsidRPr="009608FB">
        <w:rPr>
          <w:rFonts w:ascii="Calibri" w:hAnsi="Calibri"/>
          <w:sz w:val="22"/>
          <w:szCs w:val="22"/>
        </w:rPr>
        <w:t xml:space="preserve"> Ancient Asian building philosophies, rather than western conventions, shaped 4 WTC</w:t>
      </w:r>
    </w:p>
    <w:p w:rsidR="00B32887" w:rsidRPr="009608FB" w:rsidRDefault="00B32887" w:rsidP="00B32887">
      <w:pPr>
        <w:rPr>
          <w:rFonts w:ascii="Calibri" w:hAnsi="Calibri"/>
          <w:sz w:val="22"/>
          <w:szCs w:val="22"/>
        </w:rPr>
      </w:pPr>
    </w:p>
    <w:p w:rsidR="00FF1DA8" w:rsidRPr="009608FB" w:rsidRDefault="00AB2E13" w:rsidP="00FF1DA8">
      <w:pPr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 xml:space="preserve">P. </w:t>
      </w:r>
      <w:r w:rsidR="00FF1DA8" w:rsidRPr="009608FB">
        <w:rPr>
          <w:rFonts w:ascii="Calibri" w:hAnsi="Calibri"/>
          <w:b/>
          <w:sz w:val="22"/>
          <w:szCs w:val="22"/>
        </w:rPr>
        <w:t>30, 269</w:t>
      </w:r>
      <w:r w:rsidR="00B26AB7" w:rsidRPr="009608FB">
        <w:rPr>
          <w:rFonts w:ascii="Calibri" w:hAnsi="Calibri"/>
          <w:sz w:val="22"/>
          <w:szCs w:val="22"/>
        </w:rPr>
        <w:t xml:space="preserve">: </w:t>
      </w:r>
      <w:r w:rsidR="00FF1DA8" w:rsidRPr="009608FB">
        <w:rPr>
          <w:rFonts w:ascii="Calibri" w:hAnsi="Calibri"/>
          <w:sz w:val="22"/>
          <w:szCs w:val="22"/>
        </w:rPr>
        <w:t>A surprising assessment</w:t>
      </w:r>
      <w:r w:rsidR="00B26AB7" w:rsidRPr="009608FB">
        <w:rPr>
          <w:rFonts w:ascii="Calibri" w:hAnsi="Calibri"/>
          <w:sz w:val="22"/>
          <w:szCs w:val="22"/>
        </w:rPr>
        <w:t xml:space="preserve"> </w:t>
      </w:r>
      <w:r w:rsidR="00FF1DA8" w:rsidRPr="009608FB">
        <w:rPr>
          <w:rFonts w:ascii="Calibri" w:hAnsi="Calibri"/>
          <w:sz w:val="22"/>
          <w:szCs w:val="22"/>
        </w:rPr>
        <w:t>from the Rudin Center at N</w:t>
      </w:r>
      <w:r w:rsidR="009608FB">
        <w:rPr>
          <w:rFonts w:ascii="Calibri" w:hAnsi="Calibri"/>
          <w:sz w:val="22"/>
          <w:szCs w:val="22"/>
        </w:rPr>
        <w:t xml:space="preserve">YU: </w:t>
      </w:r>
      <w:r w:rsidR="007423DF">
        <w:rPr>
          <w:rFonts w:ascii="Calibri" w:hAnsi="Calibri"/>
          <w:sz w:val="22"/>
          <w:szCs w:val="22"/>
        </w:rPr>
        <w:t>T</w:t>
      </w:r>
      <w:r w:rsidR="009608FB">
        <w:rPr>
          <w:rFonts w:ascii="Calibri" w:hAnsi="Calibri"/>
          <w:sz w:val="22"/>
          <w:szCs w:val="22"/>
        </w:rPr>
        <w:t xml:space="preserve">he </w:t>
      </w:r>
      <w:r w:rsidRPr="009608FB">
        <w:rPr>
          <w:rFonts w:ascii="Calibri" w:hAnsi="Calibri"/>
          <w:sz w:val="22"/>
          <w:szCs w:val="22"/>
        </w:rPr>
        <w:t>Port Authority</w:t>
      </w:r>
      <w:r w:rsidR="00FF1DA8" w:rsidRPr="009608FB">
        <w:rPr>
          <w:rFonts w:ascii="Calibri" w:hAnsi="Calibri"/>
          <w:sz w:val="22"/>
          <w:szCs w:val="22"/>
        </w:rPr>
        <w:t xml:space="preserve"> and Silverstein Propert</w:t>
      </w:r>
      <w:r w:rsidR="009608FB">
        <w:rPr>
          <w:rFonts w:ascii="Calibri" w:hAnsi="Calibri"/>
          <w:sz w:val="22"/>
          <w:szCs w:val="22"/>
        </w:rPr>
        <w:t>ies made a sound investment in the WTC</w:t>
      </w:r>
      <w:r w:rsidR="00FF1DA8" w:rsidRPr="009608FB">
        <w:rPr>
          <w:rFonts w:ascii="Calibri" w:hAnsi="Calibri"/>
          <w:sz w:val="22"/>
          <w:szCs w:val="22"/>
        </w:rPr>
        <w:t xml:space="preserve"> redevelopment. </w:t>
      </w:r>
      <w:r w:rsidR="00B6445C" w:rsidRPr="009608FB">
        <w:rPr>
          <w:rFonts w:ascii="Calibri" w:hAnsi="Calibri"/>
          <w:sz w:val="22"/>
          <w:szCs w:val="22"/>
        </w:rPr>
        <w:t>(Notes 269)</w:t>
      </w:r>
    </w:p>
    <w:p w:rsidR="00FF1DA8" w:rsidRPr="009608FB" w:rsidRDefault="00FF1DA8" w:rsidP="00FF1DA8">
      <w:pPr>
        <w:rPr>
          <w:rFonts w:ascii="Calibri" w:hAnsi="Calibri"/>
          <w:sz w:val="22"/>
          <w:szCs w:val="22"/>
        </w:rPr>
      </w:pPr>
    </w:p>
    <w:p w:rsidR="006801B7" w:rsidRPr="009608FB" w:rsidRDefault="00F45B25" w:rsidP="007E2C47">
      <w:pPr>
        <w:widowControl w:val="0"/>
        <w:autoSpaceDE w:val="0"/>
        <w:autoSpaceDN w:val="0"/>
        <w:adjustRightInd w:val="0"/>
        <w:spacing w:after="240" w:line="280" w:lineRule="exact"/>
        <w:rPr>
          <w:rFonts w:ascii="Calibri" w:hAnsi="Calibri"/>
          <w:sz w:val="22"/>
          <w:szCs w:val="22"/>
        </w:rPr>
      </w:pPr>
      <w:r w:rsidRPr="009608FB">
        <w:rPr>
          <w:rFonts w:ascii="Calibri" w:hAnsi="Calibri"/>
          <w:b/>
          <w:sz w:val="22"/>
          <w:szCs w:val="22"/>
        </w:rPr>
        <w:t>P. 10</w:t>
      </w:r>
      <w:r w:rsidR="00DA545F" w:rsidRPr="009608FB">
        <w:rPr>
          <w:rFonts w:ascii="Calibri" w:hAnsi="Calibri"/>
          <w:b/>
          <w:sz w:val="22"/>
          <w:szCs w:val="22"/>
        </w:rPr>
        <w:t>:</w:t>
      </w:r>
      <w:r w:rsidRPr="009608FB">
        <w:rPr>
          <w:rFonts w:ascii="Calibri" w:hAnsi="Calibri"/>
          <w:sz w:val="22"/>
          <w:szCs w:val="22"/>
        </w:rPr>
        <w:t xml:space="preserve"> In 2014, Governors Cuomo and Christie asked for a complete overhaul of the Port Authority’s governance structure. Consequently, </w:t>
      </w:r>
      <w:r w:rsidRPr="009608FB">
        <w:rPr>
          <w:rFonts w:ascii="Calibri" w:hAnsi="Calibri"/>
          <w:i/>
          <w:sz w:val="22"/>
          <w:szCs w:val="22"/>
        </w:rPr>
        <w:t>One World Trade</w:t>
      </w:r>
      <w:r w:rsidRPr="009608FB">
        <w:rPr>
          <w:rFonts w:ascii="Calibri" w:hAnsi="Calibri"/>
          <w:sz w:val="22"/>
          <w:szCs w:val="22"/>
        </w:rPr>
        <w:t xml:space="preserve"> also commemorates the last great project undertaken by the agency before its essential structure, established in 1921, is dismantled.</w:t>
      </w:r>
      <w:r w:rsidRPr="009608FB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sectPr w:rsidR="006801B7" w:rsidRPr="0096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A8"/>
    <w:rsid w:val="000F7325"/>
    <w:rsid w:val="00190412"/>
    <w:rsid w:val="001C093A"/>
    <w:rsid w:val="001F0A69"/>
    <w:rsid w:val="001F343E"/>
    <w:rsid w:val="00260EB7"/>
    <w:rsid w:val="002A4EFF"/>
    <w:rsid w:val="002F3012"/>
    <w:rsid w:val="00317370"/>
    <w:rsid w:val="00335E15"/>
    <w:rsid w:val="0049370B"/>
    <w:rsid w:val="004B435C"/>
    <w:rsid w:val="005D0967"/>
    <w:rsid w:val="005E594F"/>
    <w:rsid w:val="005F13FC"/>
    <w:rsid w:val="006801B7"/>
    <w:rsid w:val="006832C2"/>
    <w:rsid w:val="00702612"/>
    <w:rsid w:val="007423DF"/>
    <w:rsid w:val="007D50EA"/>
    <w:rsid w:val="007E2C47"/>
    <w:rsid w:val="009137B3"/>
    <w:rsid w:val="009608FB"/>
    <w:rsid w:val="00972E55"/>
    <w:rsid w:val="00AB08B9"/>
    <w:rsid w:val="00AB2E13"/>
    <w:rsid w:val="00B26AB7"/>
    <w:rsid w:val="00B32887"/>
    <w:rsid w:val="00B6445C"/>
    <w:rsid w:val="00BD5196"/>
    <w:rsid w:val="00C06D55"/>
    <w:rsid w:val="00C52D2B"/>
    <w:rsid w:val="00C66A0F"/>
    <w:rsid w:val="00CA71FF"/>
    <w:rsid w:val="00CC6365"/>
    <w:rsid w:val="00D23174"/>
    <w:rsid w:val="00DA545F"/>
    <w:rsid w:val="00DF2822"/>
    <w:rsid w:val="00E10EEC"/>
    <w:rsid w:val="00F45B25"/>
    <w:rsid w:val="00FB425E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6AB7"/>
    <w:rPr>
      <w:i/>
      <w:iCs/>
    </w:rPr>
  </w:style>
  <w:style w:type="character" w:customStyle="1" w:styleId="apple-converted-space">
    <w:name w:val="apple-converted-space"/>
    <w:basedOn w:val="DefaultParagraphFont"/>
    <w:rsid w:val="00B26AB7"/>
  </w:style>
  <w:style w:type="paragraph" w:styleId="BalloonText">
    <w:name w:val="Balloon Text"/>
    <w:basedOn w:val="Normal"/>
    <w:link w:val="BalloonTextChar"/>
    <w:uiPriority w:val="99"/>
    <w:semiHidden/>
    <w:unhideWhenUsed/>
    <w:rsid w:val="005D0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6AB7"/>
    <w:rPr>
      <w:i/>
      <w:iCs/>
    </w:rPr>
  </w:style>
  <w:style w:type="character" w:customStyle="1" w:styleId="apple-converted-space">
    <w:name w:val="apple-converted-space"/>
    <w:basedOn w:val="DefaultParagraphFont"/>
    <w:rsid w:val="00B26AB7"/>
  </w:style>
  <w:style w:type="paragraph" w:styleId="BalloonText">
    <w:name w:val="Balloon Text"/>
    <w:basedOn w:val="Normal"/>
    <w:link w:val="BalloonTextChar"/>
    <w:uiPriority w:val="99"/>
    <w:semiHidden/>
    <w:unhideWhenUsed/>
    <w:rsid w:val="005D0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Carrie</dc:creator>
  <cp:keywords/>
  <dc:description/>
  <cp:lastModifiedBy>Judith Dupre</cp:lastModifiedBy>
  <cp:revision>2</cp:revision>
  <dcterms:created xsi:type="dcterms:W3CDTF">2016-06-17T20:51:00Z</dcterms:created>
  <dcterms:modified xsi:type="dcterms:W3CDTF">2016-06-17T20:51:00Z</dcterms:modified>
</cp:coreProperties>
</file>